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81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81">
        <w:rPr>
          <w:rFonts w:ascii="Times New Roman" w:eastAsia="Calibri" w:hAnsi="Times New Roman" w:cs="Times New Roman"/>
          <w:sz w:val="28"/>
          <w:szCs w:val="28"/>
        </w:rPr>
        <w:t>ВЕРХНЕИНГАШСКОГО СЕЛЬСОВЕТА</w:t>
      </w: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81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81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D81" w:rsidRPr="009C2D81" w:rsidRDefault="009C2D81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D81" w:rsidRPr="009C2D81" w:rsidRDefault="004A00E7" w:rsidP="009C2D81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9C2D81" w:rsidRPr="009C2D81">
        <w:rPr>
          <w:rFonts w:ascii="Times New Roman" w:eastAsia="Calibri" w:hAnsi="Times New Roman" w:cs="Times New Roman"/>
          <w:sz w:val="28"/>
          <w:szCs w:val="28"/>
        </w:rPr>
        <w:t>.</w:t>
      </w:r>
      <w:r w:rsidR="009C2D81">
        <w:rPr>
          <w:rFonts w:ascii="Times New Roman" w:hAnsi="Times New Roman" w:cs="Times New Roman"/>
          <w:sz w:val="28"/>
          <w:szCs w:val="28"/>
        </w:rPr>
        <w:t>2025</w:t>
      </w:r>
      <w:r w:rsidR="009C2D81" w:rsidRPr="009C2D81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  <w:proofErr w:type="spellStart"/>
      <w:r w:rsidR="009C2D81" w:rsidRPr="009C2D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9C2D81" w:rsidRPr="009C2D81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9C2D81" w:rsidRPr="009C2D81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="009C2D81" w:rsidRPr="009C2D81">
        <w:rPr>
          <w:rFonts w:ascii="Times New Roman" w:eastAsia="Calibri" w:hAnsi="Times New Roman" w:cs="Times New Roman"/>
          <w:sz w:val="28"/>
          <w:szCs w:val="28"/>
        </w:rPr>
        <w:t xml:space="preserve"> Ингаш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17</w:t>
      </w:r>
    </w:p>
    <w:p w:rsidR="004778AD" w:rsidRDefault="004778AD" w:rsidP="004778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1E32" w:rsidRPr="00F85562" w:rsidRDefault="001E1E32" w:rsidP="001E1E32">
      <w:pPr>
        <w:pStyle w:val="a8"/>
        <w:rPr>
          <w:lang w:eastAsia="ru-RU"/>
        </w:rPr>
      </w:pPr>
    </w:p>
    <w:p w:rsidR="009C2D81" w:rsidRPr="00587D33" w:rsidRDefault="009C2D81" w:rsidP="001E1E32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D33">
        <w:rPr>
          <w:rFonts w:ascii="Times New Roman" w:eastAsia="Calibri" w:hAnsi="Times New Roman" w:cs="Times New Roman"/>
          <w:b/>
          <w:sz w:val="26"/>
          <w:szCs w:val="26"/>
        </w:rPr>
        <w:t>Об утверждении схемы размещения нестационарных</w:t>
      </w:r>
      <w:r w:rsidR="001E1E32" w:rsidRPr="0058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7D33">
        <w:rPr>
          <w:rFonts w:ascii="Times New Roman" w:eastAsia="Calibri" w:hAnsi="Times New Roman" w:cs="Times New Roman"/>
          <w:b/>
          <w:sz w:val="26"/>
          <w:szCs w:val="26"/>
        </w:rPr>
        <w:t>торговых объектов на территории</w:t>
      </w:r>
      <w:r w:rsidR="001E1E32" w:rsidRPr="0058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7D33">
        <w:rPr>
          <w:rFonts w:ascii="Times New Roman" w:eastAsia="Calibri" w:hAnsi="Times New Roman" w:cs="Times New Roman"/>
          <w:b/>
          <w:sz w:val="26"/>
          <w:szCs w:val="26"/>
        </w:rPr>
        <w:t>Верхнеингашского сельсовета</w:t>
      </w:r>
    </w:p>
    <w:p w:rsidR="001E1E32" w:rsidRPr="00587D33" w:rsidRDefault="001E1E32" w:rsidP="001E1E32">
      <w:pPr>
        <w:pStyle w:val="a8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78AD" w:rsidRPr="00587D33" w:rsidRDefault="00AE5A2D" w:rsidP="00B8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28.12.2009 № 381-ФЗ "Об основах государственного регулирования торговой деятельности в Российской Федерации", Постановлением Правительства Российской Федерации от 29.09.2010 №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подпунктом "и" статьи 4 Закона Красноярского края от 30.06.2011 № 12-6090</w:t>
      </w:r>
      <w:proofErr w:type="gramEnd"/>
      <w:r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отдельных вопросах государственного регулирования торговой деятельности на территории Красноярского края", 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края», </w:t>
      </w:r>
      <w:r w:rsidR="001E1E32" w:rsidRPr="00587D33">
        <w:rPr>
          <w:rFonts w:ascii="Times New Roman" w:eastAsia="Calibri" w:hAnsi="Times New Roman" w:cs="Times New Roman"/>
          <w:sz w:val="26"/>
          <w:szCs w:val="26"/>
        </w:rPr>
        <w:t>Уставом Верхнеингашского сельсовета Нижнеингашского района Красноярского края</w:t>
      </w:r>
      <w:r w:rsidR="001E1E32"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E5A2D" w:rsidRPr="00587D33" w:rsidRDefault="004778AD" w:rsidP="001E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AE5A2D"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разработки и утверждения схемы размещения нестационарных торговых объектов на территории </w:t>
      </w:r>
      <w:r w:rsidR="001E1E32" w:rsidRPr="00587D33">
        <w:rPr>
          <w:rFonts w:ascii="Times New Roman" w:eastAsia="Calibri" w:hAnsi="Times New Roman" w:cs="Times New Roman"/>
          <w:sz w:val="26"/>
          <w:szCs w:val="26"/>
        </w:rPr>
        <w:t>Верхнеингашского сельсовета</w:t>
      </w:r>
      <w:r w:rsidR="00AE5A2D"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приложению к постановлению.</w:t>
      </w:r>
    </w:p>
    <w:p w:rsidR="000D4DA4" w:rsidRPr="00587D33" w:rsidRDefault="000D4DA4" w:rsidP="001E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настоящее Постановление на сайте </w:t>
      </w:r>
      <w:r w:rsidR="001E1E32" w:rsidRPr="00587D33">
        <w:rPr>
          <w:rFonts w:ascii="Times New Roman" w:eastAsia="Calibri" w:hAnsi="Times New Roman" w:cs="Times New Roman"/>
          <w:sz w:val="26"/>
          <w:szCs w:val="26"/>
        </w:rPr>
        <w:t>Верхнеингашского сельсовета</w:t>
      </w:r>
      <w:r w:rsidR="001E1E32"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Нижнеингашского</w:t>
      </w:r>
      <w:r w:rsidRPr="00587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Красноярского края в сети «Интернет» </w:t>
      </w:r>
      <w:r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</w:t>
      </w:r>
      <w:r w:rsidR="001E1E32" w:rsidRPr="00587D3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="001E1E32" w:rsidRPr="00587D33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verxneingashskoe-r04.gosweb.gosuslugi.ru</w:t>
        </w:r>
      </w:hyperlink>
      <w:r w:rsidRPr="00587D3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1E1E32" w:rsidRPr="00587D33" w:rsidRDefault="001E1E32" w:rsidP="001E1E32">
      <w:pPr>
        <w:pStyle w:val="a8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7D33">
        <w:rPr>
          <w:rFonts w:ascii="Times New Roman" w:hAnsi="Times New Roman" w:cs="Times New Roman"/>
          <w:sz w:val="26"/>
          <w:szCs w:val="26"/>
        </w:rPr>
        <w:t>3</w:t>
      </w:r>
      <w:r w:rsidRPr="00587D33">
        <w:rPr>
          <w:rFonts w:ascii="Times New Roman" w:eastAsia="Calibri" w:hAnsi="Times New Roman" w:cs="Times New Roman"/>
          <w:sz w:val="26"/>
          <w:szCs w:val="26"/>
        </w:rPr>
        <w:t>. Признать утратившим силу П</w:t>
      </w:r>
      <w:r w:rsidRPr="00587D33">
        <w:rPr>
          <w:rFonts w:ascii="Times New Roman" w:hAnsi="Times New Roman" w:cs="Times New Roman"/>
          <w:sz w:val="26"/>
          <w:szCs w:val="26"/>
        </w:rPr>
        <w:t>остановление администрации от 30.06.2015 № 27</w:t>
      </w:r>
      <w:r w:rsidRPr="00587D33">
        <w:rPr>
          <w:rFonts w:ascii="Times New Roman" w:eastAsia="Calibri" w:hAnsi="Times New Roman" w:cs="Times New Roman"/>
          <w:sz w:val="26"/>
          <w:szCs w:val="26"/>
        </w:rPr>
        <w:t>«Об утверждении схемы размещения нестационарных торговых объектов»</w:t>
      </w:r>
    </w:p>
    <w:p w:rsidR="001E1E32" w:rsidRPr="00587D33" w:rsidRDefault="001E1E32" w:rsidP="001E1E32">
      <w:pPr>
        <w:pStyle w:val="a8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7D33">
        <w:rPr>
          <w:rFonts w:ascii="Times New Roman" w:hAnsi="Times New Roman" w:cs="Times New Roman"/>
          <w:sz w:val="26"/>
          <w:szCs w:val="26"/>
        </w:rPr>
        <w:t>4</w:t>
      </w:r>
      <w:r w:rsidRPr="00587D3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587D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87D33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E1E32" w:rsidRPr="00587D33" w:rsidRDefault="001E1E32" w:rsidP="001E1E32">
      <w:pPr>
        <w:pStyle w:val="a8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7D33">
        <w:rPr>
          <w:rFonts w:ascii="Times New Roman" w:hAnsi="Times New Roman" w:cs="Times New Roman"/>
          <w:sz w:val="26"/>
          <w:szCs w:val="26"/>
        </w:rPr>
        <w:t>5</w:t>
      </w:r>
      <w:r w:rsidRPr="00587D33">
        <w:rPr>
          <w:rFonts w:ascii="Times New Roman" w:eastAsia="Calibri" w:hAnsi="Times New Roman" w:cs="Times New Roman"/>
          <w:sz w:val="26"/>
          <w:szCs w:val="26"/>
        </w:rPr>
        <w:t xml:space="preserve">. Постановление вступает в силу со </w:t>
      </w:r>
      <w:r w:rsidRPr="00587D33">
        <w:rPr>
          <w:rFonts w:ascii="Times New Roman" w:hAnsi="Times New Roman" w:cs="Times New Roman"/>
          <w:sz w:val="26"/>
          <w:szCs w:val="26"/>
        </w:rPr>
        <w:t xml:space="preserve">дня официального опубликования </w:t>
      </w:r>
      <w:r w:rsidRPr="00587D33">
        <w:rPr>
          <w:rFonts w:ascii="Times New Roman" w:eastAsia="Calibri" w:hAnsi="Times New Roman" w:cs="Times New Roman"/>
          <w:sz w:val="26"/>
          <w:szCs w:val="26"/>
        </w:rPr>
        <w:t>в газете «Информационный вестник» Верхнеингашского сельсовета.</w:t>
      </w:r>
    </w:p>
    <w:p w:rsidR="000D4DA4" w:rsidRPr="00587D33" w:rsidRDefault="000D4DA4" w:rsidP="000D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DA4" w:rsidRPr="00587D33" w:rsidRDefault="000D4DA4" w:rsidP="000D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4DA4" w:rsidRPr="00587D33" w:rsidRDefault="000D4DA4" w:rsidP="000D4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7D33" w:rsidRPr="00587D33" w:rsidRDefault="00587D33" w:rsidP="00587D3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587D33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</w:t>
      </w:r>
      <w:proofErr w:type="spellStart"/>
      <w:r w:rsidRPr="00587D33">
        <w:rPr>
          <w:rFonts w:ascii="Times New Roman" w:hAnsi="Times New Roman" w:cs="Times New Roman"/>
          <w:sz w:val="26"/>
          <w:szCs w:val="26"/>
        </w:rPr>
        <w:t>П.Г.Солдатенко</w:t>
      </w:r>
      <w:proofErr w:type="spellEnd"/>
    </w:p>
    <w:p w:rsidR="00887F86" w:rsidRPr="00587D33" w:rsidRDefault="00887F86" w:rsidP="00887F86">
      <w:pPr>
        <w:rPr>
          <w:sz w:val="26"/>
          <w:szCs w:val="26"/>
        </w:rPr>
      </w:pPr>
    </w:p>
    <w:p w:rsidR="00250142" w:rsidRPr="004778AD" w:rsidRDefault="00250142" w:rsidP="00250142">
      <w:pPr>
        <w:rPr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326AB" w:rsidRDefault="000326AB" w:rsidP="00477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477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477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D33" w:rsidRDefault="00587D33" w:rsidP="004778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58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A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28.05.2025 № 17</w:t>
      </w:r>
      <w:bookmarkStart w:id="0" w:name="_GoBack"/>
      <w:bookmarkEnd w:id="0"/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39"/>
      <w:bookmarkEnd w:id="1"/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РАЗРАБОТКИ И УТВЕРЖДЕНИЯ СХЕМЫ РАЗМЕЩЕНИЯ НЕСТАЦИОНАРНЫХ ТОРГОВЫХ ОБЪЕКТОВ НА ТЕРРИТОРИИ </w:t>
      </w:r>
      <w:r w:rsidR="000C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ВЕРХНЕИНГАШСКОГО СЕЛЬСОВЕТА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разработки и утверждения схемы размещения нестационарных торговых объектов на территории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</w:t>
      </w:r>
      <w:proofErr w:type="gramStart"/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Порядок) разработан в соответствии Федеральным законом </w:t>
      </w:r>
      <w:hyperlink r:id="rId7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28.12.2009 № 381-ФЗ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государственного регулирования торговой деятельности в Российской Федерации", Постановлением Правительства Российской Федерации </w:t>
      </w:r>
      <w:hyperlink r:id="rId8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схему размещения нестационарных торговых объектов" (далее - Постановление Правительства РФ </w:t>
      </w:r>
      <w:hyperlink r:id="rId9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подпунктом "и" статьи 4 Закона Красноярского края </w:t>
      </w:r>
      <w:hyperlink r:id="rId10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30.06.2011 № 12-6090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отдельных вопросах государственного регулирования торговой деятельности на территории Красноярского края", Приказом министерства промышленности и торговли Красноярск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края от 12.11.2024 № 27-н «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края».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определяет процедуру разработки и утверждения схемы размещения нестационарных торговых объектов (далее - Схема) на территории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</w:t>
      </w:r>
      <w:proofErr w:type="gramStart"/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орган местного самоуправления) на землях и земельных участках, в зданиях, строениях, сооружениях, находящихся в муниципальной собственности, а также на землях и земельных участках, находящихся на территории муниципального образования, государственная собственность на которые не разграничена.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муниципальных образований, государственная собственность на которые не разграничена, осуществляется на основании Схемы.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Используемые в Порядке понятия понимаются в том значении, в котором они используются в Федеральном законе </w:t>
      </w:r>
      <w:hyperlink r:id="rId11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28.12.2009 № 381-ФЗ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государственного регулирования торговой деятельности в Российской Федерации»: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торговая деятельность (далее также - торговля) - вид предпринимательской деятельности, связанный с приобретением и продажей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стационарный торговый объект - торговый объект, представляющий 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нерно-технического обеспечения;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целей Порядка под специализацией нестационарного торгового объекта понимается торговая деятельность, при которой 80 и более процентов (60 и более процентов -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нестационарного торгового объекта определяется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Верхнеингашского сельсовета 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приоритетных (социально значимых) товарных специализаций с учетом специфики и потребностей соответствующей территории района.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Порядка не распространяются на отношения, связанные с размещением нестационарных торговых объектов, находящихся на территориях розничных рынков, ярмарок.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Схема содержит: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нестационарных торговых объектов (павильон, киоск, передвижная торговая точка,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адресный ориентир расположения нестационарных торговых объектов, кадастровый номер земельного участка (при наличии);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нестационарных торговых объектов по каждому адресному ориентиру;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 нестационарного торгового объекта;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наличии);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собственнике земельного участка, здания, строения, сооружения на котором расположен нестационарный торговый объект;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размещения нестационарных торговых объектов.</w:t>
      </w:r>
    </w:p>
    <w:p w:rsidR="000326AB" w:rsidRPr="00EF57CA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Схема разрабатывается и утверждается Администрацией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сельсовета</w:t>
      </w: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уставом муниципального образования, в целях:</w:t>
      </w:r>
    </w:p>
    <w:p w:rsidR="000326AB" w:rsidRPr="00EF57CA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установленных нормативов минимальной обеспеченности населения площадью торговых объектов;</w:t>
      </w:r>
    </w:p>
    <w:p w:rsidR="000326AB" w:rsidRPr="00EF57CA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 </w:t>
      </w:r>
      <w:hyperlink r:id="rId12" w:tgtFrame="_blank" w:history="1">
        <w:r w:rsidRPr="00EF57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27.11.2018 № 422-ФЗ</w:t>
        </w:r>
      </w:hyperlink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проведении эксперимента по установлению специального налогового режима «Налог на профессиональный доход»;</w:t>
      </w:r>
      <w:proofErr w:type="gramEnd"/>
    </w:p>
    <w:p w:rsidR="00EF57CA" w:rsidRPr="00917DD5" w:rsidRDefault="00EF57CA" w:rsidP="00EF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доступности товаров для населения.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 Красноярского края, согласовывается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Верхнеингашского сельсовета 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органом исполнительной власти Красноярского края, осуществляющими полномочия собственника имущества, в 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 утвержденными Постановлением Правительства РФ </w:t>
      </w:r>
      <w:hyperlink r:id="rId13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29.09.2010 № 772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Правила).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Схема и вносимые в нее изменения утверждаются 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принимаемым в порядке, установленном уставом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в Схему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находящихся на территории муниципального образования 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сельсовета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 на которые не разграничена, осуществляется в порядке, предусмотренном для разработки и утверждения Схемы, установленном органами местного самоуправления.</w:t>
      </w:r>
      <w:proofErr w:type="gramEnd"/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разработке Схемы орган местного самоуправления формирует проект Схемы и размещает его на своем официальном сайте в информационно-телекоммуникационной сети «Интернет» на срок не менее чем 45 рабочих дней.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 и физические лица, в том числе не являющиеся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 </w:t>
      </w:r>
      <w:hyperlink r:id="rId14" w:tgtFrame="_blank" w:history="1">
        <w:r w:rsidRPr="000326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27.11.2018 № 422-ФЗ</w:t>
        </w:r>
      </w:hyperlink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проведении эксперимента по установлению специального налогового режима «Налог на профессиональный доход» (далее – хозяйствующие субъекты), в течени</w:t>
      </w:r>
      <w:r w:rsidR="00B84831"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рабочих дней с даты размещения проекта Схемы на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местного самоуправления в информационно-телекоммуникационной сети «Интернет» могут направить в орган местного самоуправления заявление о включении в проект Схемы местонахождения новых нестационарных торговых объектов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орган местного самоуправления является дата, указанная на почтовом штемпеле отделения почтовой связи по месту отправления документов.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Орган м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естного самоуправления в течение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рабочих дней рассматривает заявления, поступившие в соответствии с пунктом 13 Порядка, и принимает решение о включении в проект Схемы местонахождения новых нестационарных торговых объектов или об отказе во включении в порядке, установленном органом местного самоуправления. Информация о принятом решении направляется заявителю в течение 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Внесение изменений в Схему относительно нестационарных торговых объектов, расположенных на земельных участках, в зданиях, строениях, сооружениях, находящихся в государственной собственности Красноярского края, осуществляется в соответствии с Правилами.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Внесение изменений в Схему относительно нестационарных торговых объектов, расположенных на землях, земельных участках, в зданиях, строениях, сооружениях, находящихся в муниципальной собственности, а также на землях, земельных участках, находящихся на территории муниципальных образований, государственная собственность на которые не разграничена, осуществляется в порядке, установленном органом местного самоуправления, с учетом пунктов 17-22 Порядка.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Хозяйствующие субъекты могут направить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 местного самоуправления заявление о внесении изменений в Схему в части включения в Схему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местонахождения новых нестационарных торговых объектов, по форме, установленной органом местного самоуправления.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Орган местного самоуправления в течение 30 рабочих дней рассматривает заявления, поступившие в соответствии с пунктом 17 Порядка,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органом местного самоуправления. Информация о принятом решении направляется заявителю в течение 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(далее - компенсационное место) осуществляется в следующих случаях: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размещения нестационарного торгового объекта расположено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муниципальных нужд;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объекта (объектов) капитального строительства, автомобильных дорог;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случае исключения места размещения нестационарного торгового объекта из Схемы по основаниям, предусмотренным пунктом 19 Порядка, орган местного самоуправления не менее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60 рабочих дней до даты исключения направляет хозяйствующему субъекту, которому предоставлен</w:t>
      </w:r>
      <w:r w:rsidR="000C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право на размещение нестационарного торгового объекта, </w:t>
      </w: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уведомление о предстоящем исключении места размещения нестационарного торгового объекта из Схемы (далее - уведомление) с предложением варианта компенсационного места либо с предложением самостоятельного подбора компенсационного места.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Хозяйствующие субъекты, получившие уведомление, предусмотренное пунктом 20 Порядка,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орган местного самоуправления является дата, указанная на почтовом штемпеле отделения почтовой связи по месту отправления документов.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 случае предложения хозяйствующим субъектом компенсационного места, не предусмотренного Схемой, орган местного самоуправления в течение 30 рабочих дней рассматривает возможность включения предложенного места размещения нестационарного торгового объекта в Схему в порядке, установленном органом местного самоуправления. Информация о принятом решении направляется заявителю в течение 5 рабочих дней со дня принятия решения способом, указанным в заявлении.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Утверждение Схемы,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органа местного самоуправления в информационно-телекоммуникационной сети «Интернет».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Орган местного самоуправления в</w:t>
      </w:r>
      <w:r w:rsidR="00340036"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  <w:r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7CA"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календарных дней</w:t>
      </w:r>
      <w:r w:rsidRPr="00917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утверждения</w:t>
      </w:r>
      <w:r w:rsidRPr="00E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 министерства промышленности и торговли Красноярского края в информационно-телекоммуникационной сети «Интернет».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AB" w:rsidRDefault="000326AB" w:rsidP="00AE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326AB" w:rsidSect="00B9602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326AB" w:rsidRPr="000326AB" w:rsidRDefault="00641F1E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326AB"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разработки и утверждения схемы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нестационарных торговых объектов </w:t>
      </w:r>
      <w:proofErr w:type="gramStart"/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6D7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Верхнеингашского сельсовета</w:t>
      </w:r>
    </w:p>
    <w:p w:rsidR="000326AB" w:rsidRPr="000326AB" w:rsidRDefault="000326AB" w:rsidP="00032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размещения нестационарных торговых объектов на территории ______________________________________________________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района)</w:t>
      </w:r>
    </w:p>
    <w:p w:rsidR="000326AB" w:rsidRPr="000326AB" w:rsidRDefault="000326AB" w:rsidP="00032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состоянию на_______________________ 20___ года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747"/>
        <w:gridCol w:w="1748"/>
        <w:gridCol w:w="1748"/>
        <w:gridCol w:w="1778"/>
        <w:gridCol w:w="1104"/>
        <w:gridCol w:w="1802"/>
        <w:gridCol w:w="1457"/>
        <w:gridCol w:w="2266"/>
        <w:gridCol w:w="1748"/>
      </w:tblGrid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нестационарных торговых объектов (павильон, киоск, автомагазин,  торговая площадка и т.д.)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нестационарных торговых  </w:t>
            </w:r>
            <w:r w:rsidRPr="000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по каждому адресному ориентиру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торгового объекта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(специализация нестационарного торгового объекта)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собственнике земельного участка, здания, сооружения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6AB" w:rsidRPr="000326AB" w:rsidTr="000326AB">
        <w:trPr>
          <w:trHeight w:val="23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26AB" w:rsidRPr="000326AB" w:rsidRDefault="000326AB" w:rsidP="000326A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26AB" w:rsidRPr="000326AB" w:rsidRDefault="000326AB" w:rsidP="00032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AB" w:rsidRPr="004778AD" w:rsidRDefault="000326AB" w:rsidP="004778AD">
      <w:pPr>
        <w:rPr>
          <w:szCs w:val="24"/>
        </w:rPr>
      </w:pPr>
    </w:p>
    <w:sectPr w:rsidR="000326AB" w:rsidRPr="004778AD" w:rsidSect="000326A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20270"/>
    <w:rsid w:val="000326AB"/>
    <w:rsid w:val="00033D02"/>
    <w:rsid w:val="00035361"/>
    <w:rsid w:val="000C254F"/>
    <w:rsid w:val="000C5E11"/>
    <w:rsid w:val="000D4DA4"/>
    <w:rsid w:val="00130C10"/>
    <w:rsid w:val="00161B69"/>
    <w:rsid w:val="00197B21"/>
    <w:rsid w:val="001E1E32"/>
    <w:rsid w:val="00234715"/>
    <w:rsid w:val="00250142"/>
    <w:rsid w:val="0027115B"/>
    <w:rsid w:val="00284AB1"/>
    <w:rsid w:val="002B2304"/>
    <w:rsid w:val="00335828"/>
    <w:rsid w:val="00340036"/>
    <w:rsid w:val="00394467"/>
    <w:rsid w:val="003A2250"/>
    <w:rsid w:val="004778AD"/>
    <w:rsid w:val="004959BE"/>
    <w:rsid w:val="004A00E7"/>
    <w:rsid w:val="004F63EC"/>
    <w:rsid w:val="005268F0"/>
    <w:rsid w:val="005861AA"/>
    <w:rsid w:val="00587D33"/>
    <w:rsid w:val="00587FF3"/>
    <w:rsid w:val="00594A50"/>
    <w:rsid w:val="00600720"/>
    <w:rsid w:val="00605009"/>
    <w:rsid w:val="00641F1E"/>
    <w:rsid w:val="006A4BB4"/>
    <w:rsid w:val="006C149E"/>
    <w:rsid w:val="006D7A57"/>
    <w:rsid w:val="006F4E16"/>
    <w:rsid w:val="00746E51"/>
    <w:rsid w:val="00782DB8"/>
    <w:rsid w:val="007C582D"/>
    <w:rsid w:val="007E1B7F"/>
    <w:rsid w:val="007F193A"/>
    <w:rsid w:val="0080268C"/>
    <w:rsid w:val="00871E13"/>
    <w:rsid w:val="00887F86"/>
    <w:rsid w:val="00917DD5"/>
    <w:rsid w:val="009C2D81"/>
    <w:rsid w:val="009D03E6"/>
    <w:rsid w:val="009D6A1F"/>
    <w:rsid w:val="00A46294"/>
    <w:rsid w:val="00A57ED2"/>
    <w:rsid w:val="00AE413E"/>
    <w:rsid w:val="00AE5A2D"/>
    <w:rsid w:val="00AF152D"/>
    <w:rsid w:val="00B17722"/>
    <w:rsid w:val="00B230ED"/>
    <w:rsid w:val="00B31ACA"/>
    <w:rsid w:val="00B61DA1"/>
    <w:rsid w:val="00B6617F"/>
    <w:rsid w:val="00B84831"/>
    <w:rsid w:val="00B90CBF"/>
    <w:rsid w:val="00B9602F"/>
    <w:rsid w:val="00BF30C7"/>
    <w:rsid w:val="00C2666C"/>
    <w:rsid w:val="00C4258E"/>
    <w:rsid w:val="00C5505E"/>
    <w:rsid w:val="00C96DE3"/>
    <w:rsid w:val="00D26EB8"/>
    <w:rsid w:val="00D32344"/>
    <w:rsid w:val="00D47A3A"/>
    <w:rsid w:val="00D50D35"/>
    <w:rsid w:val="00D63471"/>
    <w:rsid w:val="00D97A86"/>
    <w:rsid w:val="00DB1239"/>
    <w:rsid w:val="00EF57CA"/>
    <w:rsid w:val="00F03D43"/>
    <w:rsid w:val="00F156CA"/>
    <w:rsid w:val="00F43759"/>
    <w:rsid w:val="00F523DC"/>
    <w:rsid w:val="00F85562"/>
    <w:rsid w:val="00FF017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D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2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099F6D-24ED-41F5-BA65-37730BD11F08" TargetMode="External"/><Relationship Id="rId13" Type="http://schemas.openxmlformats.org/officeDocument/2006/relationships/hyperlink" Target="https://pravo-search.minjust.ru/bigs/showDocument.html?id=3F099F6D-24ED-41F5-BA65-37730BD11F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EB23ACE-BBA9-4B3E-BCF9-2C17A1CDA1A0" TargetMode="External"/><Relationship Id="rId12" Type="http://schemas.openxmlformats.org/officeDocument/2006/relationships/hyperlink" Target="https://pravo-search.minjust.ru/bigs/showDocument.html?id=E06DAEEB-22B5-4015-92CF-4D678AD939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erxneingashskoe-r04.gosweb.gosuslugi.ru/" TargetMode="External"/><Relationship Id="rId11" Type="http://schemas.openxmlformats.org/officeDocument/2006/relationships/hyperlink" Target="https://pravo-search.minjust.ru/bigs/showDocument.html?id=AEB23ACE-BBA9-4B3E-BCF9-2C17A1CDA1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FC329E1-8C58-4017-B2B9-000460D1B3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F099F6D-24ED-41F5-BA65-37730BD11F08" TargetMode="External"/><Relationship Id="rId14" Type="http://schemas.openxmlformats.org/officeDocument/2006/relationships/hyperlink" Target="https://pravo-search.minjust.ru/bigs/showDocument.html?id=E06DAEEB-22B5-4015-92CF-4D678AD93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12</cp:revision>
  <dcterms:created xsi:type="dcterms:W3CDTF">2025-03-21T05:33:00Z</dcterms:created>
  <dcterms:modified xsi:type="dcterms:W3CDTF">2025-05-28T06:13:00Z</dcterms:modified>
</cp:coreProperties>
</file>